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BA9" w:rsidRDefault="00BC493E">
      <w:pPr>
        <w:pBdr>
          <w:top w:val="nil"/>
          <w:left w:val="nil"/>
          <w:bottom w:val="nil"/>
          <w:right w:val="nil"/>
          <w:between w:val="nil"/>
        </w:pBdr>
        <w:spacing w:after="0" w:line="240" w:lineRule="auto"/>
        <w:rPr>
          <w:b/>
          <w:color w:val="000000"/>
          <w:sz w:val="36"/>
          <w:szCs w:val="36"/>
        </w:rPr>
      </w:pPr>
      <w:bookmarkStart w:id="0" w:name="_gjdgxs" w:colFirst="0" w:colLast="0"/>
      <w:bookmarkEnd w:id="0"/>
      <w:r>
        <w:rPr>
          <w:b/>
          <w:color w:val="000000"/>
          <w:sz w:val="36"/>
          <w:szCs w:val="36"/>
        </w:rPr>
        <w:t>RETURN SHIPMENT AUTHORIZATION FORM</w:t>
      </w:r>
    </w:p>
    <w:p w:rsidR="00D95BA9" w:rsidRDefault="00BC493E">
      <w:pPr>
        <w:pStyle w:val="Heading3"/>
        <w:rPr>
          <w:rFonts w:ascii="Calibri" w:eastAsia="Calibri" w:hAnsi="Calibri" w:cs="Calibri"/>
          <w:sz w:val="16"/>
          <w:szCs w:val="16"/>
        </w:rPr>
      </w:pPr>
      <w:r>
        <w:rPr>
          <w:rFonts w:ascii="Calibri" w:eastAsia="Calibri" w:hAnsi="Calibri" w:cs="Calibri"/>
          <w:sz w:val="16"/>
          <w:szCs w:val="16"/>
        </w:rPr>
        <w:t xml:space="preserve">To authorize a return shipment, FAX THIS COMPLETED FORM TO VEOLIA AT (920) 757-5485 or email the completed form to </w:t>
      </w:r>
      <w:hyperlink r:id="rId7">
        <w:r>
          <w:rPr>
            <w:rFonts w:ascii="Calibri" w:eastAsia="Calibri" w:hAnsi="Calibri" w:cs="Calibri"/>
            <w:color w:val="0000FF"/>
            <w:sz w:val="16"/>
            <w:szCs w:val="16"/>
            <w:u w:val="single"/>
          </w:rPr>
          <w:t>PAK.TS@VEOLIA.COM</w:t>
        </w:r>
      </w:hyperlink>
      <w:r>
        <w:rPr>
          <w:rFonts w:ascii="Calibri" w:eastAsia="Calibri" w:hAnsi="Calibri" w:cs="Calibri"/>
          <w:sz w:val="16"/>
          <w:szCs w:val="16"/>
        </w:rPr>
        <w:t>.  Veolia will process your request and email you this completed form and an authorized return shipping label. PLACE THE RETURN SHIPMENT AUTHORIZATION FORM INSIDE THE RETURN SHIPPING BOX PRIOR TO SHIPPING THE CONTAINER. FAILURE TO DO SO WILL RESULT IN VIOL</w:t>
      </w:r>
      <w:r>
        <w:rPr>
          <w:rFonts w:ascii="Calibri" w:eastAsia="Calibri" w:hAnsi="Calibri" w:cs="Calibri"/>
          <w:sz w:val="16"/>
          <w:szCs w:val="16"/>
        </w:rPr>
        <w:t>ATION OF ENVIRONMENTAL REGULATIONS.</w:t>
      </w:r>
    </w:p>
    <w:p w:rsidR="00D95BA9" w:rsidRDefault="00D95BA9">
      <w:pPr>
        <w:pBdr>
          <w:top w:val="nil"/>
          <w:left w:val="nil"/>
          <w:bottom w:val="nil"/>
          <w:right w:val="nil"/>
          <w:between w:val="nil"/>
        </w:pBdr>
        <w:spacing w:after="0" w:line="240" w:lineRule="auto"/>
        <w:rPr>
          <w:b/>
          <w:color w:val="000000"/>
          <w:sz w:val="6"/>
          <w:szCs w:val="6"/>
        </w:rPr>
      </w:pPr>
    </w:p>
    <w:p w:rsidR="00D95BA9" w:rsidRDefault="00BC493E">
      <w:pPr>
        <w:pBdr>
          <w:top w:val="nil"/>
          <w:left w:val="nil"/>
          <w:bottom w:val="nil"/>
          <w:right w:val="nil"/>
          <w:between w:val="nil"/>
        </w:pBdr>
        <w:spacing w:after="0" w:line="240" w:lineRule="auto"/>
        <w:rPr>
          <w:b/>
          <w:color w:val="000000"/>
          <w:sz w:val="16"/>
          <w:szCs w:val="16"/>
        </w:rPr>
      </w:pPr>
      <w:r>
        <w:rPr>
          <w:b/>
          <w:color w:val="000000"/>
          <w:sz w:val="24"/>
          <w:szCs w:val="24"/>
        </w:rPr>
        <w:t>Generator Information</w:t>
      </w:r>
      <w:r>
        <w:rPr>
          <w:b/>
          <w:sz w:val="24"/>
          <w:szCs w:val="24"/>
        </w:rPr>
        <w:t xml:space="preserve">: </w:t>
      </w:r>
      <w:r>
        <w:rPr>
          <w:b/>
          <w:color w:val="000000"/>
          <w:sz w:val="16"/>
          <w:szCs w:val="16"/>
        </w:rPr>
        <w:t>Enter the generator information in this section as it should appear on the FedEx Ground return-shipping label.</w:t>
      </w:r>
    </w:p>
    <w:tbl>
      <w:tblPr>
        <w:tblStyle w:val="a"/>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4680"/>
        <w:gridCol w:w="822"/>
        <w:gridCol w:w="3156"/>
      </w:tblGrid>
      <w:tr w:rsidR="00D95BA9">
        <w:trPr>
          <w:trHeight w:val="375"/>
        </w:trPr>
        <w:tc>
          <w:tcPr>
            <w:tcW w:w="2250" w:type="dxa"/>
            <w:vAlign w:val="center"/>
          </w:tcPr>
          <w:p w:rsidR="00D95BA9" w:rsidRDefault="00BC493E">
            <w:pPr>
              <w:pBdr>
                <w:top w:val="nil"/>
                <w:left w:val="nil"/>
                <w:bottom w:val="nil"/>
                <w:right w:val="nil"/>
                <w:between w:val="nil"/>
              </w:pBdr>
              <w:spacing w:after="0" w:line="240" w:lineRule="auto"/>
              <w:rPr>
                <w:rFonts w:ascii="Calibri" w:eastAsia="Calibri" w:hAnsi="Calibri" w:cs="Calibri"/>
                <w:b/>
                <w:color w:val="000000"/>
                <w:sz w:val="18"/>
                <w:szCs w:val="18"/>
              </w:rPr>
            </w:pPr>
            <w:r>
              <w:rPr>
                <w:rFonts w:ascii="Calibri" w:eastAsia="Calibri" w:hAnsi="Calibri" w:cs="Calibri"/>
                <w:b/>
                <w:color w:val="000000"/>
                <w:sz w:val="18"/>
                <w:szCs w:val="18"/>
              </w:rPr>
              <w:t>Company Name:</w:t>
            </w:r>
          </w:p>
        </w:tc>
        <w:tc>
          <w:tcPr>
            <w:tcW w:w="8658" w:type="dxa"/>
            <w:gridSpan w:val="3"/>
            <w:vAlign w:val="center"/>
          </w:tcPr>
          <w:p w:rsidR="00D95BA9" w:rsidRDefault="00D95BA9">
            <w:pPr>
              <w:pBdr>
                <w:top w:val="nil"/>
                <w:left w:val="nil"/>
                <w:bottom w:val="nil"/>
                <w:right w:val="nil"/>
                <w:between w:val="nil"/>
              </w:pBdr>
              <w:spacing w:after="0" w:line="240" w:lineRule="auto"/>
              <w:rPr>
                <w:rFonts w:ascii="Calibri" w:eastAsia="Calibri" w:hAnsi="Calibri" w:cs="Calibri"/>
                <w:color w:val="000000"/>
                <w:sz w:val="18"/>
                <w:szCs w:val="18"/>
              </w:rPr>
            </w:pPr>
          </w:p>
        </w:tc>
      </w:tr>
      <w:tr w:rsidR="00D95BA9">
        <w:trPr>
          <w:trHeight w:val="375"/>
        </w:trPr>
        <w:tc>
          <w:tcPr>
            <w:tcW w:w="2250" w:type="dxa"/>
            <w:vAlign w:val="center"/>
          </w:tcPr>
          <w:p w:rsidR="00D95BA9" w:rsidRDefault="00BC493E">
            <w:pPr>
              <w:pBdr>
                <w:top w:val="nil"/>
                <w:left w:val="nil"/>
                <w:bottom w:val="nil"/>
                <w:right w:val="nil"/>
                <w:between w:val="nil"/>
              </w:pBdr>
              <w:spacing w:after="0" w:line="240" w:lineRule="auto"/>
              <w:rPr>
                <w:rFonts w:ascii="Calibri" w:eastAsia="Calibri" w:hAnsi="Calibri" w:cs="Calibri"/>
                <w:b/>
                <w:color w:val="000000"/>
                <w:sz w:val="18"/>
                <w:szCs w:val="18"/>
              </w:rPr>
            </w:pPr>
            <w:r>
              <w:rPr>
                <w:rFonts w:ascii="Calibri" w:eastAsia="Calibri" w:hAnsi="Calibri" w:cs="Calibri"/>
                <w:b/>
                <w:color w:val="000000"/>
                <w:sz w:val="18"/>
                <w:szCs w:val="18"/>
              </w:rPr>
              <w:t>Site Address:</w:t>
            </w:r>
          </w:p>
        </w:tc>
        <w:tc>
          <w:tcPr>
            <w:tcW w:w="8658" w:type="dxa"/>
            <w:gridSpan w:val="3"/>
            <w:vAlign w:val="center"/>
          </w:tcPr>
          <w:p w:rsidR="00D95BA9" w:rsidRDefault="00D95BA9">
            <w:pPr>
              <w:pBdr>
                <w:top w:val="nil"/>
                <w:left w:val="nil"/>
                <w:bottom w:val="nil"/>
                <w:right w:val="nil"/>
                <w:between w:val="nil"/>
              </w:pBdr>
              <w:spacing w:after="0" w:line="240" w:lineRule="auto"/>
              <w:rPr>
                <w:rFonts w:ascii="Calibri" w:eastAsia="Calibri" w:hAnsi="Calibri" w:cs="Calibri"/>
                <w:color w:val="000000"/>
                <w:sz w:val="18"/>
                <w:szCs w:val="18"/>
              </w:rPr>
            </w:pPr>
          </w:p>
        </w:tc>
      </w:tr>
      <w:tr w:rsidR="00D95BA9">
        <w:trPr>
          <w:trHeight w:val="375"/>
        </w:trPr>
        <w:tc>
          <w:tcPr>
            <w:tcW w:w="2250" w:type="dxa"/>
            <w:vAlign w:val="center"/>
          </w:tcPr>
          <w:p w:rsidR="00D95BA9" w:rsidRDefault="00BC493E">
            <w:pPr>
              <w:pBdr>
                <w:top w:val="nil"/>
                <w:left w:val="nil"/>
                <w:bottom w:val="nil"/>
                <w:right w:val="nil"/>
                <w:between w:val="nil"/>
              </w:pBdr>
              <w:spacing w:after="0" w:line="240" w:lineRule="auto"/>
              <w:rPr>
                <w:rFonts w:ascii="Calibri" w:eastAsia="Calibri" w:hAnsi="Calibri" w:cs="Calibri"/>
                <w:b/>
                <w:color w:val="000000"/>
                <w:sz w:val="18"/>
                <w:szCs w:val="18"/>
              </w:rPr>
            </w:pPr>
            <w:r>
              <w:rPr>
                <w:rFonts w:ascii="Calibri" w:eastAsia="Calibri" w:hAnsi="Calibri" w:cs="Calibri"/>
                <w:b/>
                <w:color w:val="000000"/>
                <w:sz w:val="18"/>
                <w:szCs w:val="18"/>
              </w:rPr>
              <w:t>City, State, Zip:</w:t>
            </w:r>
          </w:p>
        </w:tc>
        <w:tc>
          <w:tcPr>
            <w:tcW w:w="8658" w:type="dxa"/>
            <w:gridSpan w:val="3"/>
            <w:vAlign w:val="center"/>
          </w:tcPr>
          <w:p w:rsidR="00D95BA9" w:rsidRDefault="00D95BA9">
            <w:pPr>
              <w:pBdr>
                <w:top w:val="nil"/>
                <w:left w:val="nil"/>
                <w:bottom w:val="nil"/>
                <w:right w:val="nil"/>
                <w:between w:val="nil"/>
              </w:pBdr>
              <w:spacing w:after="0" w:line="240" w:lineRule="auto"/>
              <w:rPr>
                <w:rFonts w:ascii="Calibri" w:eastAsia="Calibri" w:hAnsi="Calibri" w:cs="Calibri"/>
                <w:color w:val="000000"/>
                <w:sz w:val="18"/>
                <w:szCs w:val="18"/>
              </w:rPr>
            </w:pPr>
          </w:p>
        </w:tc>
      </w:tr>
      <w:tr w:rsidR="00D95BA9">
        <w:trPr>
          <w:trHeight w:val="360"/>
        </w:trPr>
        <w:tc>
          <w:tcPr>
            <w:tcW w:w="2250" w:type="dxa"/>
            <w:vAlign w:val="center"/>
          </w:tcPr>
          <w:p w:rsidR="00D95BA9" w:rsidRDefault="00BC493E">
            <w:pPr>
              <w:pBdr>
                <w:top w:val="nil"/>
                <w:left w:val="nil"/>
                <w:bottom w:val="nil"/>
                <w:right w:val="nil"/>
                <w:between w:val="nil"/>
              </w:pBdr>
              <w:spacing w:after="0" w:line="240" w:lineRule="auto"/>
              <w:rPr>
                <w:rFonts w:ascii="Calibri" w:eastAsia="Calibri" w:hAnsi="Calibri" w:cs="Calibri"/>
                <w:b/>
                <w:color w:val="000000"/>
                <w:sz w:val="18"/>
                <w:szCs w:val="18"/>
              </w:rPr>
            </w:pPr>
            <w:r>
              <w:rPr>
                <w:rFonts w:ascii="Calibri" w:eastAsia="Calibri" w:hAnsi="Calibri" w:cs="Calibri"/>
                <w:b/>
                <w:color w:val="000000"/>
                <w:sz w:val="18"/>
                <w:szCs w:val="18"/>
              </w:rPr>
              <w:t>Contact:</w:t>
            </w:r>
          </w:p>
        </w:tc>
        <w:tc>
          <w:tcPr>
            <w:tcW w:w="4680" w:type="dxa"/>
            <w:vAlign w:val="center"/>
          </w:tcPr>
          <w:p w:rsidR="00D95BA9" w:rsidRDefault="00D95BA9">
            <w:pPr>
              <w:pBdr>
                <w:top w:val="nil"/>
                <w:left w:val="nil"/>
                <w:bottom w:val="nil"/>
                <w:right w:val="nil"/>
                <w:between w:val="nil"/>
              </w:pBdr>
              <w:spacing w:after="0" w:line="240" w:lineRule="auto"/>
              <w:rPr>
                <w:rFonts w:ascii="Calibri" w:eastAsia="Calibri" w:hAnsi="Calibri" w:cs="Calibri"/>
                <w:color w:val="000000"/>
                <w:sz w:val="18"/>
                <w:szCs w:val="18"/>
              </w:rPr>
            </w:pPr>
          </w:p>
        </w:tc>
        <w:tc>
          <w:tcPr>
            <w:tcW w:w="822" w:type="dxa"/>
            <w:vAlign w:val="center"/>
          </w:tcPr>
          <w:p w:rsidR="00D95BA9" w:rsidRDefault="00BC493E">
            <w:pPr>
              <w:pBdr>
                <w:top w:val="nil"/>
                <w:left w:val="nil"/>
                <w:bottom w:val="nil"/>
                <w:right w:val="nil"/>
                <w:between w:val="nil"/>
              </w:pBdr>
              <w:spacing w:after="0" w:line="240" w:lineRule="auto"/>
              <w:rPr>
                <w:rFonts w:ascii="Calibri" w:eastAsia="Calibri" w:hAnsi="Calibri" w:cs="Calibri"/>
                <w:color w:val="000000"/>
                <w:sz w:val="18"/>
                <w:szCs w:val="18"/>
              </w:rPr>
            </w:pPr>
            <w:r>
              <w:rPr>
                <w:rFonts w:ascii="Calibri" w:eastAsia="Calibri" w:hAnsi="Calibri" w:cs="Calibri"/>
                <w:b/>
                <w:color w:val="000000"/>
                <w:sz w:val="18"/>
                <w:szCs w:val="18"/>
              </w:rPr>
              <w:t>Phone:</w:t>
            </w:r>
          </w:p>
        </w:tc>
        <w:tc>
          <w:tcPr>
            <w:tcW w:w="3156" w:type="dxa"/>
            <w:vAlign w:val="center"/>
          </w:tcPr>
          <w:p w:rsidR="00D95BA9" w:rsidRDefault="00D95BA9">
            <w:pPr>
              <w:pBdr>
                <w:top w:val="nil"/>
                <w:left w:val="nil"/>
                <w:bottom w:val="nil"/>
                <w:right w:val="nil"/>
                <w:between w:val="nil"/>
              </w:pBdr>
              <w:spacing w:after="0" w:line="240" w:lineRule="auto"/>
              <w:rPr>
                <w:rFonts w:ascii="Calibri" w:eastAsia="Calibri" w:hAnsi="Calibri" w:cs="Calibri"/>
                <w:color w:val="000000"/>
                <w:sz w:val="18"/>
                <w:szCs w:val="18"/>
              </w:rPr>
            </w:pPr>
          </w:p>
        </w:tc>
      </w:tr>
      <w:tr w:rsidR="00D95BA9">
        <w:trPr>
          <w:trHeight w:val="360"/>
        </w:trPr>
        <w:tc>
          <w:tcPr>
            <w:tcW w:w="2250" w:type="dxa"/>
            <w:vAlign w:val="center"/>
          </w:tcPr>
          <w:p w:rsidR="00D95BA9" w:rsidRDefault="00BC493E">
            <w:pPr>
              <w:pBdr>
                <w:top w:val="nil"/>
                <w:left w:val="nil"/>
                <w:bottom w:val="nil"/>
                <w:right w:val="nil"/>
                <w:between w:val="nil"/>
              </w:pBdr>
              <w:spacing w:after="0" w:line="240" w:lineRule="auto"/>
              <w:rPr>
                <w:rFonts w:ascii="Calibri" w:eastAsia="Calibri" w:hAnsi="Calibri" w:cs="Calibri"/>
                <w:b/>
                <w:color w:val="000000"/>
                <w:sz w:val="18"/>
                <w:szCs w:val="18"/>
              </w:rPr>
            </w:pPr>
            <w:r>
              <w:rPr>
                <w:rFonts w:ascii="Calibri" w:eastAsia="Calibri" w:hAnsi="Calibri" w:cs="Calibri"/>
                <w:b/>
                <w:color w:val="000000"/>
                <w:sz w:val="18"/>
                <w:szCs w:val="18"/>
              </w:rPr>
              <w:t>Email:</w:t>
            </w:r>
          </w:p>
        </w:tc>
        <w:tc>
          <w:tcPr>
            <w:tcW w:w="8658" w:type="dxa"/>
            <w:gridSpan w:val="3"/>
            <w:vAlign w:val="center"/>
          </w:tcPr>
          <w:p w:rsidR="00D95BA9" w:rsidRDefault="00D95BA9">
            <w:pPr>
              <w:pBdr>
                <w:top w:val="nil"/>
                <w:left w:val="nil"/>
                <w:bottom w:val="nil"/>
                <w:right w:val="nil"/>
                <w:between w:val="nil"/>
              </w:pBdr>
              <w:spacing w:after="0" w:line="240" w:lineRule="auto"/>
              <w:rPr>
                <w:rFonts w:ascii="Calibri" w:eastAsia="Calibri" w:hAnsi="Calibri" w:cs="Calibri"/>
                <w:color w:val="000000"/>
                <w:sz w:val="18"/>
                <w:szCs w:val="18"/>
              </w:rPr>
            </w:pPr>
          </w:p>
        </w:tc>
      </w:tr>
      <w:tr w:rsidR="00D95BA9">
        <w:trPr>
          <w:trHeight w:val="315"/>
        </w:trPr>
        <w:tc>
          <w:tcPr>
            <w:tcW w:w="2250" w:type="dxa"/>
            <w:vAlign w:val="center"/>
          </w:tcPr>
          <w:p w:rsidR="00D95BA9" w:rsidRDefault="00BC493E">
            <w:pPr>
              <w:pBdr>
                <w:top w:val="nil"/>
                <w:left w:val="nil"/>
                <w:bottom w:val="nil"/>
                <w:right w:val="nil"/>
                <w:between w:val="nil"/>
              </w:pBdr>
              <w:spacing w:after="0" w:line="240" w:lineRule="auto"/>
              <w:rPr>
                <w:rFonts w:ascii="Calibri" w:eastAsia="Calibri" w:hAnsi="Calibri" w:cs="Calibri"/>
                <w:b/>
                <w:color w:val="000000"/>
                <w:sz w:val="18"/>
                <w:szCs w:val="18"/>
              </w:rPr>
            </w:pPr>
            <w:r>
              <w:rPr>
                <w:rFonts w:ascii="Calibri" w:eastAsia="Calibri" w:hAnsi="Calibri" w:cs="Calibri"/>
                <w:b/>
                <w:color w:val="000000"/>
                <w:sz w:val="18"/>
                <w:szCs w:val="18"/>
              </w:rPr>
              <w:t>EPA ID#:</w:t>
            </w:r>
          </w:p>
        </w:tc>
        <w:tc>
          <w:tcPr>
            <w:tcW w:w="8658" w:type="dxa"/>
            <w:gridSpan w:val="3"/>
            <w:vAlign w:val="center"/>
          </w:tcPr>
          <w:p w:rsidR="00D95BA9" w:rsidRDefault="00D95BA9">
            <w:pPr>
              <w:pBdr>
                <w:top w:val="nil"/>
                <w:left w:val="nil"/>
                <w:bottom w:val="nil"/>
                <w:right w:val="nil"/>
                <w:between w:val="nil"/>
              </w:pBdr>
              <w:spacing w:after="0" w:line="240" w:lineRule="auto"/>
              <w:rPr>
                <w:rFonts w:ascii="Calibri" w:eastAsia="Calibri" w:hAnsi="Calibri" w:cs="Calibri"/>
                <w:color w:val="000000"/>
                <w:sz w:val="18"/>
                <w:szCs w:val="18"/>
              </w:rPr>
            </w:pPr>
          </w:p>
        </w:tc>
      </w:tr>
    </w:tbl>
    <w:p w:rsidR="00D95BA9" w:rsidRDefault="00D95BA9">
      <w:pPr>
        <w:spacing w:after="0" w:line="240" w:lineRule="auto"/>
        <w:rPr>
          <w:b/>
          <w:sz w:val="6"/>
          <w:szCs w:val="6"/>
        </w:rPr>
      </w:pPr>
    </w:p>
    <w:p w:rsidR="00D95BA9" w:rsidRDefault="00BC493E">
      <w:pPr>
        <w:numPr>
          <w:ilvl w:val="0"/>
          <w:numId w:val="3"/>
        </w:numPr>
        <w:spacing w:after="0" w:line="240" w:lineRule="auto"/>
        <w:rPr>
          <w:b/>
        </w:rPr>
      </w:pPr>
      <w:r>
        <w:rPr>
          <w:b/>
        </w:rPr>
        <w:t xml:space="preserve">General Information: </w:t>
      </w:r>
      <w:r>
        <w:rPr>
          <w:b/>
          <w:sz w:val="18"/>
          <w:szCs w:val="18"/>
        </w:rPr>
        <w:t xml:space="preserve">Please check the following items as they apply to the SUPPLY – 376, 377, and 378 </w:t>
      </w:r>
      <w:proofErr w:type="spellStart"/>
      <w:r>
        <w:rPr>
          <w:b/>
          <w:sz w:val="18"/>
          <w:szCs w:val="18"/>
        </w:rPr>
        <w:t>ReturnPak</w:t>
      </w:r>
      <w:proofErr w:type="spellEnd"/>
      <w:r>
        <w:rPr>
          <w:b/>
          <w:sz w:val="18"/>
          <w:szCs w:val="18"/>
        </w:rPr>
        <w:t>® Cactus® Sink Cartridge Waste Recycling Kit</w:t>
      </w:r>
    </w:p>
    <w:tbl>
      <w:tblPr>
        <w:tblStyle w:val="a0"/>
        <w:tblW w:w="10785" w:type="dxa"/>
        <w:tblInd w:w="15" w:type="dxa"/>
        <w:tblLayout w:type="fixed"/>
        <w:tblLook w:val="0600" w:firstRow="0" w:lastRow="0" w:firstColumn="0" w:lastColumn="0" w:noHBand="1" w:noVBand="1"/>
      </w:tblPr>
      <w:tblGrid>
        <w:gridCol w:w="480"/>
        <w:gridCol w:w="10305"/>
      </w:tblGrid>
      <w:tr w:rsidR="00D95BA9">
        <w:trPr>
          <w:trHeight w:val="3870"/>
        </w:trPr>
        <w:tc>
          <w:tcPr>
            <w:tcW w:w="480" w:type="dxa"/>
            <w:shd w:val="clear" w:color="auto" w:fill="auto"/>
            <w:tcMar>
              <w:top w:w="0" w:type="dxa"/>
              <w:left w:w="0" w:type="dxa"/>
              <w:bottom w:w="0" w:type="dxa"/>
              <w:right w:w="0" w:type="dxa"/>
            </w:tcMar>
          </w:tcPr>
          <w:p w:rsidR="00D95BA9" w:rsidRDefault="00BC493E">
            <w:pPr>
              <w:widowControl w:val="0"/>
              <w:pBdr>
                <w:top w:val="nil"/>
                <w:left w:val="nil"/>
                <w:bottom w:val="nil"/>
                <w:right w:val="nil"/>
                <w:between w:val="nil"/>
              </w:pBdr>
              <w:spacing w:after="0" w:line="240" w:lineRule="auto"/>
              <w:rPr>
                <w:rFonts w:ascii="Arial" w:eastAsia="Arial" w:hAnsi="Arial" w:cs="Arial"/>
                <w:b/>
                <w:sz w:val="44"/>
                <w:szCs w:val="44"/>
              </w:rPr>
            </w:pPr>
            <w:r>
              <w:rPr>
                <w:rFonts w:ascii="Arial" w:eastAsia="Arial" w:hAnsi="Arial" w:cs="Arial"/>
                <w:b/>
                <w:sz w:val="44"/>
                <w:szCs w:val="44"/>
              </w:rPr>
              <w:t>◻</w:t>
            </w:r>
          </w:p>
        </w:tc>
        <w:tc>
          <w:tcPr>
            <w:tcW w:w="10305" w:type="dxa"/>
            <w:shd w:val="clear" w:color="auto" w:fill="auto"/>
            <w:tcMar>
              <w:top w:w="100" w:type="dxa"/>
              <w:left w:w="100" w:type="dxa"/>
              <w:bottom w:w="100" w:type="dxa"/>
              <w:right w:w="100" w:type="dxa"/>
            </w:tcMar>
          </w:tcPr>
          <w:p w:rsidR="00D95BA9" w:rsidRDefault="00BC493E">
            <w:pPr>
              <w:spacing w:after="0" w:line="240" w:lineRule="auto"/>
              <w:rPr>
                <w:sz w:val="18"/>
                <w:szCs w:val="18"/>
              </w:rPr>
            </w:pPr>
            <w:r>
              <w:rPr>
                <w:b/>
                <w:sz w:val="18"/>
                <w:szCs w:val="18"/>
              </w:rPr>
              <w:t xml:space="preserve">Waste Classification: </w:t>
            </w:r>
            <w:r>
              <w:rPr>
                <w:sz w:val="18"/>
                <w:szCs w:val="18"/>
              </w:rPr>
              <w:t xml:space="preserve">The </w:t>
            </w:r>
            <w:proofErr w:type="spellStart"/>
            <w:r>
              <w:rPr>
                <w:sz w:val="18"/>
                <w:szCs w:val="18"/>
              </w:rPr>
              <w:t>ReturnPak</w:t>
            </w:r>
            <w:proofErr w:type="spellEnd"/>
            <w:r>
              <w:rPr>
                <w:sz w:val="18"/>
                <w:szCs w:val="18"/>
              </w:rPr>
              <w:t>® Cactus® Sink Cartridge Waste Recycling Kit is designed to ship one to four cartridges having one (1) liter capacity each of pharmaceutical waste. Based on the medication information, Cactus® Smart Sink® Instruction Manual requirements, and g</w:t>
            </w:r>
            <w:r>
              <w:rPr>
                <w:sz w:val="18"/>
                <w:szCs w:val="18"/>
              </w:rPr>
              <w:t xml:space="preserve">enerator’s knowledge, the following statements are true and accurate. </w:t>
            </w:r>
          </w:p>
          <w:p w:rsidR="00D95BA9" w:rsidRDefault="00BC493E">
            <w:pPr>
              <w:numPr>
                <w:ilvl w:val="1"/>
                <w:numId w:val="1"/>
              </w:numPr>
              <w:spacing w:after="0" w:line="240" w:lineRule="auto"/>
              <w:ind w:left="450"/>
              <w:rPr>
                <w:sz w:val="18"/>
                <w:szCs w:val="18"/>
              </w:rPr>
            </w:pPr>
            <w:r>
              <w:rPr>
                <w:sz w:val="18"/>
                <w:szCs w:val="18"/>
              </w:rPr>
              <w:t>I certify that I am currently knowledgeable of the Drug Enforcement Administration (DEA) Controlled Substances regulations as they relate to</w:t>
            </w:r>
            <w:r>
              <w:rPr>
                <w:b/>
                <w:sz w:val="18"/>
                <w:szCs w:val="18"/>
              </w:rPr>
              <w:t xml:space="preserve"> “Pharmaceutical Wastage”</w:t>
            </w:r>
            <w:r>
              <w:rPr>
                <w:sz w:val="18"/>
                <w:szCs w:val="18"/>
              </w:rPr>
              <w:t xml:space="preserve"> and specifically th</w:t>
            </w:r>
            <w:r>
              <w:rPr>
                <w:sz w:val="18"/>
                <w:szCs w:val="18"/>
              </w:rPr>
              <w:t>e disposal requirements of pharmaceutical wastage as they apply to practitioners.</w:t>
            </w:r>
          </w:p>
          <w:p w:rsidR="00D95BA9" w:rsidRDefault="00BC493E">
            <w:pPr>
              <w:numPr>
                <w:ilvl w:val="2"/>
                <w:numId w:val="1"/>
              </w:numPr>
              <w:spacing w:after="0" w:line="240" w:lineRule="auto"/>
              <w:ind w:left="1170"/>
              <w:rPr>
                <w:sz w:val="18"/>
                <w:szCs w:val="18"/>
              </w:rPr>
            </w:pPr>
            <w:r>
              <w:rPr>
                <w:b/>
                <w:sz w:val="18"/>
                <w:szCs w:val="18"/>
              </w:rPr>
              <w:t>“Pharmaceutical Wastage”</w:t>
            </w:r>
            <w:r>
              <w:rPr>
                <w:sz w:val="18"/>
                <w:szCs w:val="18"/>
              </w:rPr>
              <w:t>, also referred to as drug wastage, is the substance that remains in a vial, tube, transdermal patch, or syringe after administration in an institutional setting, that cannot or may not be further utilized. This remaining substance must be properly recorde</w:t>
            </w:r>
            <w:r>
              <w:rPr>
                <w:sz w:val="18"/>
                <w:szCs w:val="18"/>
              </w:rPr>
              <w:t>d, stored, and destroyed in accordance with DEA regulations (e.g. 21 CFR 1304.22(c)), and all applicable Federal, State, tribal, and local laws and regulations, although the destruction need not be recorded on a DEA Form 41. (</w:t>
            </w:r>
            <w:proofErr w:type="gramStart"/>
            <w:r>
              <w:rPr>
                <w:sz w:val="18"/>
                <w:szCs w:val="18"/>
              </w:rPr>
              <w:t>per</w:t>
            </w:r>
            <w:proofErr w:type="gramEnd"/>
            <w:r>
              <w:rPr>
                <w:sz w:val="18"/>
                <w:szCs w:val="18"/>
              </w:rPr>
              <w:t xml:space="preserve"> 79 Fed. Reg. 53,521)</w:t>
            </w:r>
          </w:p>
          <w:p w:rsidR="00D95BA9" w:rsidRDefault="00BC493E">
            <w:pPr>
              <w:numPr>
                <w:ilvl w:val="1"/>
                <w:numId w:val="1"/>
              </w:numPr>
              <w:spacing w:after="0" w:line="240" w:lineRule="auto"/>
              <w:ind w:left="450"/>
              <w:rPr>
                <w:sz w:val="18"/>
                <w:szCs w:val="18"/>
              </w:rPr>
            </w:pPr>
            <w:r>
              <w:rPr>
                <w:sz w:val="18"/>
                <w:szCs w:val="18"/>
              </w:rPr>
              <w:t>I cer</w:t>
            </w:r>
            <w:r>
              <w:rPr>
                <w:sz w:val="18"/>
                <w:szCs w:val="18"/>
              </w:rPr>
              <w:t xml:space="preserve">tify that the waste contained within this Recycling Kit consists solely of unused pharmaceuticals, unused portions or partial doses also referred to as </w:t>
            </w:r>
            <w:r>
              <w:rPr>
                <w:b/>
                <w:sz w:val="18"/>
                <w:szCs w:val="18"/>
              </w:rPr>
              <w:t>“Pharmaceutical Wastage”</w:t>
            </w:r>
            <w:r>
              <w:rPr>
                <w:sz w:val="18"/>
                <w:szCs w:val="18"/>
              </w:rPr>
              <w:t xml:space="preserve"> as defined by DEA.</w:t>
            </w:r>
          </w:p>
          <w:p w:rsidR="00D95BA9" w:rsidRDefault="00BC493E">
            <w:pPr>
              <w:numPr>
                <w:ilvl w:val="1"/>
                <w:numId w:val="2"/>
              </w:numPr>
              <w:spacing w:after="0" w:line="240" w:lineRule="auto"/>
              <w:ind w:left="450"/>
              <w:rPr>
                <w:sz w:val="18"/>
                <w:szCs w:val="18"/>
              </w:rPr>
            </w:pPr>
            <w:r>
              <w:rPr>
                <w:sz w:val="18"/>
                <w:szCs w:val="18"/>
              </w:rPr>
              <w:t>The waste may contain non-retrievable quantities of controll</w:t>
            </w:r>
            <w:r>
              <w:rPr>
                <w:sz w:val="18"/>
                <w:szCs w:val="18"/>
              </w:rPr>
              <w:t>ed substances.</w:t>
            </w:r>
          </w:p>
          <w:p w:rsidR="00D95BA9" w:rsidRDefault="00BC493E">
            <w:pPr>
              <w:numPr>
                <w:ilvl w:val="1"/>
                <w:numId w:val="2"/>
              </w:numPr>
              <w:spacing w:after="0" w:line="240" w:lineRule="auto"/>
              <w:ind w:left="450"/>
              <w:rPr>
                <w:sz w:val="18"/>
                <w:szCs w:val="18"/>
              </w:rPr>
            </w:pPr>
            <w:r>
              <w:rPr>
                <w:sz w:val="18"/>
                <w:szCs w:val="18"/>
              </w:rPr>
              <w:t>The waste does not contain any RCRA hazardous waste as defined in 40 CFR 261.</w:t>
            </w:r>
          </w:p>
          <w:p w:rsidR="00D95BA9" w:rsidRDefault="00BC493E">
            <w:pPr>
              <w:numPr>
                <w:ilvl w:val="1"/>
                <w:numId w:val="2"/>
              </w:numPr>
              <w:spacing w:after="0" w:line="240" w:lineRule="auto"/>
              <w:ind w:left="450"/>
              <w:rPr>
                <w:sz w:val="18"/>
                <w:szCs w:val="18"/>
              </w:rPr>
            </w:pPr>
            <w:r>
              <w:rPr>
                <w:sz w:val="18"/>
                <w:szCs w:val="18"/>
              </w:rPr>
              <w:t>The waste does not contain polychlorinated biphenyls (PCBs) regulated under 40 CFR 761.</w:t>
            </w:r>
          </w:p>
          <w:p w:rsidR="00D95BA9" w:rsidRDefault="00BC493E">
            <w:pPr>
              <w:numPr>
                <w:ilvl w:val="1"/>
                <w:numId w:val="2"/>
              </w:numPr>
              <w:spacing w:after="0" w:line="240" w:lineRule="auto"/>
              <w:ind w:left="450"/>
              <w:rPr>
                <w:sz w:val="18"/>
                <w:szCs w:val="18"/>
              </w:rPr>
            </w:pPr>
            <w:r>
              <w:rPr>
                <w:sz w:val="18"/>
                <w:szCs w:val="18"/>
              </w:rPr>
              <w:t>The waste does not contain regulated medical waste, sharps, blood or bulk b</w:t>
            </w:r>
            <w:r>
              <w:rPr>
                <w:sz w:val="18"/>
                <w:szCs w:val="18"/>
              </w:rPr>
              <w:t>ody fluids, or biological specimens.</w:t>
            </w:r>
          </w:p>
        </w:tc>
      </w:tr>
      <w:tr w:rsidR="00D95BA9">
        <w:tc>
          <w:tcPr>
            <w:tcW w:w="480" w:type="dxa"/>
            <w:shd w:val="clear" w:color="auto" w:fill="auto"/>
            <w:tcMar>
              <w:top w:w="0" w:type="dxa"/>
              <w:left w:w="0" w:type="dxa"/>
              <w:bottom w:w="0" w:type="dxa"/>
              <w:right w:w="0" w:type="dxa"/>
            </w:tcMar>
          </w:tcPr>
          <w:p w:rsidR="00D95BA9" w:rsidRDefault="00BC493E">
            <w:pPr>
              <w:widowControl w:val="0"/>
              <w:spacing w:after="0" w:line="240" w:lineRule="auto"/>
              <w:rPr>
                <w:b/>
                <w:sz w:val="18"/>
                <w:szCs w:val="18"/>
              </w:rPr>
            </w:pPr>
            <w:r>
              <w:rPr>
                <w:rFonts w:ascii="Arial" w:eastAsia="Arial" w:hAnsi="Arial" w:cs="Arial"/>
                <w:b/>
                <w:sz w:val="44"/>
                <w:szCs w:val="44"/>
              </w:rPr>
              <w:t>◻</w:t>
            </w:r>
          </w:p>
        </w:tc>
        <w:tc>
          <w:tcPr>
            <w:tcW w:w="10305" w:type="dxa"/>
            <w:shd w:val="clear" w:color="auto" w:fill="auto"/>
            <w:tcMar>
              <w:top w:w="100" w:type="dxa"/>
              <w:left w:w="100" w:type="dxa"/>
              <w:bottom w:w="100" w:type="dxa"/>
              <w:right w:w="100" w:type="dxa"/>
            </w:tcMar>
          </w:tcPr>
          <w:p w:rsidR="00D95BA9" w:rsidRDefault="00BC493E">
            <w:pPr>
              <w:spacing w:after="0" w:line="240" w:lineRule="auto"/>
              <w:rPr>
                <w:b/>
                <w:sz w:val="18"/>
                <w:szCs w:val="18"/>
              </w:rPr>
            </w:pPr>
            <w:r>
              <w:rPr>
                <w:b/>
                <w:sz w:val="18"/>
                <w:szCs w:val="18"/>
              </w:rPr>
              <w:t>I agree to fax this completed form to Veolia at (920) 757-5485 or via email to PAK.TS@VEOLIA.COM prior to shipping this recycling container.</w:t>
            </w:r>
            <w:r>
              <w:rPr>
                <w:sz w:val="18"/>
                <w:szCs w:val="18"/>
              </w:rPr>
              <w:t xml:space="preserve"> DOT Description:  Non-Regulated Material</w:t>
            </w:r>
          </w:p>
        </w:tc>
      </w:tr>
    </w:tbl>
    <w:p w:rsidR="00D95BA9" w:rsidRDefault="00BC493E">
      <w:pPr>
        <w:pBdr>
          <w:top w:val="nil"/>
          <w:left w:val="nil"/>
          <w:bottom w:val="nil"/>
          <w:right w:val="nil"/>
          <w:between w:val="nil"/>
        </w:pBdr>
        <w:spacing w:after="0" w:line="240" w:lineRule="auto"/>
        <w:rPr>
          <w:b/>
          <w:color w:val="000000"/>
          <w:sz w:val="18"/>
          <w:szCs w:val="18"/>
          <w:u w:val="single"/>
        </w:rPr>
      </w:pPr>
      <w:r>
        <w:rPr>
          <w:b/>
          <w:color w:val="000000"/>
          <w:sz w:val="18"/>
          <w:szCs w:val="18"/>
        </w:rPr>
        <w:t>Generator Signature:</w:t>
      </w:r>
      <w:r>
        <w:rPr>
          <w:color w:val="000000"/>
          <w:sz w:val="18"/>
          <w:szCs w:val="18"/>
        </w:rPr>
        <w:t xml:space="preserve"> </w:t>
      </w:r>
      <w:r>
        <w:rPr>
          <w:color w:val="000000"/>
          <w:sz w:val="18"/>
          <w:szCs w:val="18"/>
        </w:rPr>
        <w:tab/>
      </w:r>
      <w:r>
        <w:rPr>
          <w:b/>
          <w:color w:val="000000"/>
          <w:sz w:val="18"/>
          <w:szCs w:val="18"/>
          <w:u w:val="single"/>
        </w:rPr>
        <w:tab/>
      </w:r>
      <w:r>
        <w:rPr>
          <w:b/>
          <w:color w:val="000000"/>
          <w:sz w:val="18"/>
          <w:szCs w:val="18"/>
          <w:u w:val="single"/>
        </w:rPr>
        <w:tab/>
      </w:r>
      <w:r>
        <w:rPr>
          <w:b/>
          <w:color w:val="000000"/>
          <w:sz w:val="18"/>
          <w:szCs w:val="18"/>
          <w:u w:val="single"/>
        </w:rPr>
        <w:tab/>
      </w:r>
      <w:r>
        <w:rPr>
          <w:b/>
          <w:color w:val="000000"/>
          <w:sz w:val="18"/>
          <w:szCs w:val="18"/>
          <w:u w:val="single"/>
        </w:rPr>
        <w:tab/>
      </w:r>
      <w:r>
        <w:rPr>
          <w:b/>
          <w:color w:val="000000"/>
          <w:sz w:val="18"/>
          <w:szCs w:val="18"/>
          <w:u w:val="single"/>
        </w:rPr>
        <w:tab/>
      </w:r>
      <w:r>
        <w:rPr>
          <w:color w:val="000000"/>
          <w:sz w:val="18"/>
          <w:szCs w:val="18"/>
        </w:rPr>
        <w:tab/>
      </w:r>
      <w:r>
        <w:rPr>
          <w:b/>
          <w:color w:val="000000"/>
          <w:sz w:val="18"/>
          <w:szCs w:val="18"/>
        </w:rPr>
        <w:t>Title:</w:t>
      </w:r>
      <w:r>
        <w:rPr>
          <w:color w:val="000000"/>
          <w:sz w:val="18"/>
          <w:szCs w:val="18"/>
        </w:rPr>
        <w:tab/>
        <w:t xml:space="preserve"> </w:t>
      </w:r>
      <w:r>
        <w:rPr>
          <w:b/>
          <w:color w:val="000000"/>
          <w:sz w:val="18"/>
          <w:szCs w:val="18"/>
          <w:u w:val="single"/>
        </w:rPr>
        <w:tab/>
      </w:r>
      <w:r>
        <w:rPr>
          <w:b/>
          <w:color w:val="000000"/>
          <w:sz w:val="18"/>
          <w:szCs w:val="18"/>
          <w:u w:val="single"/>
        </w:rPr>
        <w:tab/>
      </w:r>
      <w:r>
        <w:rPr>
          <w:b/>
          <w:color w:val="000000"/>
          <w:sz w:val="18"/>
          <w:szCs w:val="18"/>
          <w:u w:val="single"/>
        </w:rPr>
        <w:tab/>
      </w:r>
      <w:r>
        <w:rPr>
          <w:b/>
          <w:color w:val="000000"/>
          <w:sz w:val="18"/>
          <w:szCs w:val="18"/>
          <w:u w:val="single"/>
        </w:rPr>
        <w:tab/>
      </w:r>
      <w:r>
        <w:rPr>
          <w:b/>
          <w:color w:val="000000"/>
          <w:sz w:val="18"/>
          <w:szCs w:val="18"/>
          <w:u w:val="single"/>
        </w:rPr>
        <w:tab/>
      </w:r>
    </w:p>
    <w:p w:rsidR="00D95BA9" w:rsidRDefault="00D95BA9">
      <w:pPr>
        <w:pBdr>
          <w:top w:val="nil"/>
          <w:left w:val="nil"/>
          <w:bottom w:val="nil"/>
          <w:right w:val="nil"/>
          <w:between w:val="nil"/>
        </w:pBdr>
        <w:spacing w:after="0" w:line="240" w:lineRule="auto"/>
        <w:rPr>
          <w:b/>
          <w:color w:val="000000"/>
          <w:sz w:val="18"/>
          <w:szCs w:val="18"/>
        </w:rPr>
      </w:pPr>
    </w:p>
    <w:p w:rsidR="00D95BA9" w:rsidRDefault="00BC493E">
      <w:pPr>
        <w:pBdr>
          <w:top w:val="nil"/>
          <w:left w:val="nil"/>
          <w:bottom w:val="nil"/>
          <w:right w:val="nil"/>
          <w:between w:val="nil"/>
        </w:pBdr>
        <w:spacing w:after="0" w:line="240" w:lineRule="auto"/>
        <w:rPr>
          <w:b/>
          <w:color w:val="000000"/>
          <w:sz w:val="18"/>
          <w:szCs w:val="18"/>
          <w:u w:val="single"/>
        </w:rPr>
      </w:pPr>
      <w:r>
        <w:rPr>
          <w:b/>
          <w:color w:val="000000"/>
          <w:sz w:val="18"/>
          <w:szCs w:val="18"/>
        </w:rPr>
        <w:t>Print Name:</w:t>
      </w:r>
      <w:r>
        <w:rPr>
          <w:color w:val="000000"/>
          <w:sz w:val="18"/>
          <w:szCs w:val="18"/>
        </w:rPr>
        <w:t xml:space="preserve"> </w:t>
      </w:r>
      <w:r>
        <w:rPr>
          <w:color w:val="000000"/>
          <w:sz w:val="18"/>
          <w:szCs w:val="18"/>
        </w:rPr>
        <w:tab/>
      </w:r>
      <w:r>
        <w:rPr>
          <w:color w:val="000000"/>
          <w:sz w:val="18"/>
          <w:szCs w:val="18"/>
        </w:rPr>
        <w:tab/>
      </w:r>
      <w:r>
        <w:rPr>
          <w:b/>
          <w:color w:val="000000"/>
          <w:sz w:val="18"/>
          <w:szCs w:val="18"/>
          <w:u w:val="single"/>
        </w:rPr>
        <w:tab/>
      </w:r>
      <w:r>
        <w:rPr>
          <w:b/>
          <w:color w:val="000000"/>
          <w:sz w:val="18"/>
          <w:szCs w:val="18"/>
          <w:u w:val="single"/>
        </w:rPr>
        <w:tab/>
      </w:r>
      <w:r>
        <w:rPr>
          <w:b/>
          <w:color w:val="000000"/>
          <w:sz w:val="18"/>
          <w:szCs w:val="18"/>
          <w:u w:val="single"/>
        </w:rPr>
        <w:tab/>
      </w:r>
      <w:r>
        <w:rPr>
          <w:b/>
          <w:color w:val="000000"/>
          <w:sz w:val="18"/>
          <w:szCs w:val="18"/>
          <w:u w:val="single"/>
        </w:rPr>
        <w:tab/>
      </w:r>
      <w:r>
        <w:rPr>
          <w:b/>
          <w:color w:val="000000"/>
          <w:sz w:val="18"/>
          <w:szCs w:val="18"/>
          <w:u w:val="single"/>
        </w:rPr>
        <w:tab/>
      </w:r>
      <w:r>
        <w:rPr>
          <w:color w:val="000000"/>
          <w:sz w:val="18"/>
          <w:szCs w:val="18"/>
        </w:rPr>
        <w:tab/>
      </w:r>
      <w:r>
        <w:rPr>
          <w:b/>
          <w:color w:val="000000"/>
          <w:sz w:val="18"/>
          <w:szCs w:val="18"/>
        </w:rPr>
        <w:t>Date:</w:t>
      </w:r>
      <w:r>
        <w:rPr>
          <w:color w:val="000000"/>
          <w:sz w:val="18"/>
          <w:szCs w:val="18"/>
        </w:rPr>
        <w:t xml:space="preserve"> </w:t>
      </w:r>
      <w:r>
        <w:rPr>
          <w:color w:val="000000"/>
          <w:sz w:val="18"/>
          <w:szCs w:val="18"/>
        </w:rPr>
        <w:tab/>
      </w:r>
      <w:r>
        <w:rPr>
          <w:b/>
          <w:color w:val="000000"/>
          <w:sz w:val="18"/>
          <w:szCs w:val="18"/>
          <w:u w:val="single"/>
        </w:rPr>
        <w:tab/>
      </w:r>
      <w:r>
        <w:rPr>
          <w:b/>
          <w:color w:val="000000"/>
          <w:sz w:val="18"/>
          <w:szCs w:val="18"/>
          <w:u w:val="single"/>
        </w:rPr>
        <w:tab/>
      </w:r>
      <w:r>
        <w:rPr>
          <w:b/>
          <w:color w:val="000000"/>
          <w:sz w:val="18"/>
          <w:szCs w:val="18"/>
          <w:u w:val="single"/>
        </w:rPr>
        <w:tab/>
      </w:r>
      <w:r>
        <w:rPr>
          <w:b/>
          <w:color w:val="000000"/>
          <w:sz w:val="18"/>
          <w:szCs w:val="18"/>
          <w:u w:val="single"/>
        </w:rPr>
        <w:tab/>
      </w:r>
      <w:r>
        <w:rPr>
          <w:b/>
          <w:color w:val="000000"/>
          <w:sz w:val="18"/>
          <w:szCs w:val="18"/>
          <w:u w:val="single"/>
        </w:rPr>
        <w:tab/>
      </w:r>
    </w:p>
    <w:p w:rsidR="00D95BA9" w:rsidRDefault="00D95BA9">
      <w:pPr>
        <w:pBdr>
          <w:top w:val="nil"/>
          <w:left w:val="nil"/>
          <w:bottom w:val="nil"/>
          <w:right w:val="nil"/>
          <w:between w:val="nil"/>
        </w:pBdr>
        <w:spacing w:after="0" w:line="240" w:lineRule="auto"/>
        <w:rPr>
          <w:b/>
          <w:color w:val="FFFFFF"/>
          <w:sz w:val="18"/>
          <w:szCs w:val="18"/>
        </w:rPr>
      </w:pPr>
    </w:p>
    <w:tbl>
      <w:tblPr>
        <w:tblStyle w:val="a1"/>
        <w:tblW w:w="109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908"/>
      </w:tblGrid>
      <w:tr w:rsidR="00D95BA9">
        <w:trPr>
          <w:trHeight w:val="705"/>
        </w:trPr>
        <w:tc>
          <w:tcPr>
            <w:tcW w:w="10908" w:type="dxa"/>
            <w:shd w:val="clear" w:color="auto" w:fill="000000"/>
            <w:vAlign w:val="center"/>
          </w:tcPr>
          <w:p w:rsidR="00D95BA9" w:rsidRDefault="00BC493E">
            <w:pPr>
              <w:pBdr>
                <w:top w:val="nil"/>
                <w:left w:val="nil"/>
                <w:bottom w:val="nil"/>
                <w:right w:val="nil"/>
                <w:between w:val="nil"/>
              </w:pBdr>
              <w:spacing w:after="0" w:line="240" w:lineRule="auto"/>
              <w:jc w:val="center"/>
              <w:rPr>
                <w:rFonts w:ascii="Calibri" w:eastAsia="Calibri" w:hAnsi="Calibri" w:cs="Calibri"/>
                <w:b/>
                <w:color w:val="FFFFFF"/>
                <w:sz w:val="24"/>
                <w:szCs w:val="24"/>
              </w:rPr>
            </w:pPr>
            <w:r>
              <w:rPr>
                <w:rFonts w:ascii="Calibri" w:eastAsia="Calibri" w:hAnsi="Calibri" w:cs="Calibri"/>
                <w:b/>
                <w:color w:val="FFFFFF"/>
                <w:sz w:val="24"/>
                <w:szCs w:val="24"/>
              </w:rPr>
              <w:t xml:space="preserve">FAX THIS FORM TO VEOLIA AT (920) 757-5485 OR EMAIL TO PAK.TS@VEOLIA.COM.  PLACE THE AUTHORIZED FORM INSIDE RETURN SHIPPING BOX PRIOR TO SHIPPING THIS CONTAINER. </w:t>
            </w:r>
          </w:p>
        </w:tc>
      </w:tr>
    </w:tbl>
    <w:p w:rsidR="00D95BA9" w:rsidRDefault="00D95BA9">
      <w:pPr>
        <w:pBdr>
          <w:top w:val="nil"/>
          <w:left w:val="nil"/>
          <w:bottom w:val="nil"/>
          <w:right w:val="nil"/>
          <w:between w:val="nil"/>
        </w:pBdr>
        <w:spacing w:after="0" w:line="240" w:lineRule="auto"/>
        <w:rPr>
          <w:b/>
          <w:color w:val="000000"/>
          <w:sz w:val="18"/>
          <w:szCs w:val="18"/>
        </w:rPr>
      </w:pPr>
    </w:p>
    <w:tbl>
      <w:tblPr>
        <w:tblStyle w:val="a2"/>
        <w:tblW w:w="10908"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firstRow="0" w:lastRow="0" w:firstColumn="0" w:lastColumn="0" w:noHBand="0" w:noVBand="1"/>
      </w:tblPr>
      <w:tblGrid>
        <w:gridCol w:w="2520"/>
        <w:gridCol w:w="2934"/>
        <w:gridCol w:w="1656"/>
        <w:gridCol w:w="3798"/>
      </w:tblGrid>
      <w:tr w:rsidR="00D95BA9">
        <w:trPr>
          <w:trHeight w:val="367"/>
        </w:trPr>
        <w:tc>
          <w:tcPr>
            <w:tcW w:w="10908" w:type="dxa"/>
            <w:gridSpan w:val="4"/>
            <w:shd w:val="clear" w:color="auto" w:fill="000000"/>
          </w:tcPr>
          <w:p w:rsidR="00D95BA9" w:rsidRDefault="00BC493E">
            <w:pPr>
              <w:pBdr>
                <w:top w:val="nil"/>
                <w:left w:val="nil"/>
                <w:bottom w:val="nil"/>
                <w:right w:val="nil"/>
                <w:between w:val="nil"/>
              </w:pBdr>
              <w:spacing w:after="0" w:line="240" w:lineRule="auto"/>
              <w:jc w:val="center"/>
              <w:rPr>
                <w:rFonts w:ascii="Calibri" w:eastAsia="Calibri" w:hAnsi="Calibri" w:cs="Calibri"/>
                <w:b/>
                <w:color w:val="FFFFFF"/>
                <w:sz w:val="24"/>
                <w:szCs w:val="24"/>
              </w:rPr>
            </w:pPr>
            <w:r>
              <w:rPr>
                <w:rFonts w:ascii="Calibri" w:eastAsia="Calibri" w:hAnsi="Calibri" w:cs="Calibri"/>
                <w:b/>
                <w:color w:val="FFFFFF"/>
                <w:sz w:val="24"/>
                <w:szCs w:val="24"/>
              </w:rPr>
              <w:t>RETURN AUTHORIZATION. VEOLIA INTERNAL USE ONLY. DO NOT WRITE IN THIS BOX.</w:t>
            </w:r>
          </w:p>
        </w:tc>
      </w:tr>
      <w:tr w:rsidR="00D95BA9">
        <w:trPr>
          <w:trHeight w:val="630"/>
        </w:trPr>
        <w:tc>
          <w:tcPr>
            <w:tcW w:w="5454" w:type="dxa"/>
            <w:gridSpan w:val="2"/>
          </w:tcPr>
          <w:p w:rsidR="00D95BA9" w:rsidRDefault="00BC493E">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FedEx Tracking#:</w:t>
            </w:r>
          </w:p>
        </w:tc>
        <w:tc>
          <w:tcPr>
            <w:tcW w:w="5454" w:type="dxa"/>
            <w:gridSpan w:val="2"/>
          </w:tcPr>
          <w:p w:rsidR="00D95BA9" w:rsidRDefault="00BC493E">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Unique Container Number: </w:t>
            </w:r>
          </w:p>
        </w:tc>
      </w:tr>
      <w:tr w:rsidR="00D95BA9">
        <w:trPr>
          <w:trHeight w:val="432"/>
        </w:trPr>
        <w:tc>
          <w:tcPr>
            <w:tcW w:w="2520" w:type="dxa"/>
            <w:vAlign w:val="center"/>
          </w:tcPr>
          <w:p w:rsidR="00D95BA9" w:rsidRDefault="00BC493E">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Return Shipment Request ID:</w:t>
            </w:r>
          </w:p>
        </w:tc>
        <w:tc>
          <w:tcPr>
            <w:tcW w:w="2934" w:type="dxa"/>
            <w:vAlign w:val="center"/>
          </w:tcPr>
          <w:p w:rsidR="00D95BA9" w:rsidRDefault="00D95BA9">
            <w:pPr>
              <w:pBdr>
                <w:top w:val="nil"/>
                <w:left w:val="nil"/>
                <w:bottom w:val="nil"/>
                <w:right w:val="nil"/>
                <w:between w:val="nil"/>
              </w:pBdr>
              <w:spacing w:after="0" w:line="240" w:lineRule="auto"/>
              <w:jc w:val="center"/>
              <w:rPr>
                <w:rFonts w:ascii="Calibri" w:eastAsia="Calibri" w:hAnsi="Calibri" w:cs="Calibri"/>
                <w:b/>
                <w:color w:val="000000"/>
                <w:sz w:val="18"/>
                <w:szCs w:val="18"/>
              </w:rPr>
            </w:pPr>
          </w:p>
        </w:tc>
        <w:tc>
          <w:tcPr>
            <w:tcW w:w="1656" w:type="dxa"/>
            <w:vAlign w:val="center"/>
          </w:tcPr>
          <w:p w:rsidR="00D95BA9" w:rsidRDefault="00BC493E">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Date Processed:</w:t>
            </w:r>
          </w:p>
        </w:tc>
        <w:tc>
          <w:tcPr>
            <w:tcW w:w="3798" w:type="dxa"/>
            <w:vAlign w:val="center"/>
          </w:tcPr>
          <w:p w:rsidR="00D95BA9" w:rsidRDefault="00D95BA9">
            <w:pPr>
              <w:pBdr>
                <w:top w:val="nil"/>
                <w:left w:val="nil"/>
                <w:bottom w:val="nil"/>
                <w:right w:val="nil"/>
                <w:between w:val="nil"/>
              </w:pBdr>
              <w:spacing w:after="0" w:line="240" w:lineRule="auto"/>
              <w:jc w:val="center"/>
              <w:rPr>
                <w:rFonts w:ascii="Calibri" w:eastAsia="Calibri" w:hAnsi="Calibri" w:cs="Calibri"/>
                <w:b/>
                <w:color w:val="000000"/>
                <w:sz w:val="18"/>
                <w:szCs w:val="18"/>
              </w:rPr>
            </w:pPr>
          </w:p>
        </w:tc>
      </w:tr>
      <w:tr w:rsidR="00D95BA9">
        <w:trPr>
          <w:trHeight w:val="432"/>
        </w:trPr>
        <w:tc>
          <w:tcPr>
            <w:tcW w:w="2520" w:type="dxa"/>
            <w:vAlign w:val="center"/>
          </w:tcPr>
          <w:p w:rsidR="00D95BA9" w:rsidRDefault="00BC493E">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Date Waste Received:</w:t>
            </w:r>
          </w:p>
        </w:tc>
        <w:tc>
          <w:tcPr>
            <w:tcW w:w="2934" w:type="dxa"/>
            <w:vAlign w:val="center"/>
          </w:tcPr>
          <w:p w:rsidR="00D95BA9" w:rsidRDefault="00D95BA9">
            <w:pPr>
              <w:pBdr>
                <w:top w:val="nil"/>
                <w:left w:val="nil"/>
                <w:bottom w:val="nil"/>
                <w:right w:val="nil"/>
                <w:between w:val="nil"/>
              </w:pBdr>
              <w:spacing w:after="0" w:line="240" w:lineRule="auto"/>
              <w:jc w:val="center"/>
              <w:rPr>
                <w:rFonts w:ascii="Calibri" w:eastAsia="Calibri" w:hAnsi="Calibri" w:cs="Calibri"/>
                <w:b/>
                <w:color w:val="000000"/>
                <w:sz w:val="18"/>
                <w:szCs w:val="18"/>
              </w:rPr>
            </w:pPr>
          </w:p>
        </w:tc>
        <w:tc>
          <w:tcPr>
            <w:tcW w:w="1656" w:type="dxa"/>
            <w:vAlign w:val="center"/>
          </w:tcPr>
          <w:p w:rsidR="00D95BA9" w:rsidRDefault="00BC493E">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Received Weight:</w:t>
            </w:r>
          </w:p>
        </w:tc>
        <w:tc>
          <w:tcPr>
            <w:tcW w:w="3798" w:type="dxa"/>
            <w:vAlign w:val="center"/>
          </w:tcPr>
          <w:p w:rsidR="00D95BA9" w:rsidRDefault="00D95BA9">
            <w:pPr>
              <w:pBdr>
                <w:top w:val="nil"/>
                <w:left w:val="nil"/>
                <w:bottom w:val="nil"/>
                <w:right w:val="nil"/>
                <w:between w:val="nil"/>
              </w:pBdr>
              <w:spacing w:after="0" w:line="240" w:lineRule="auto"/>
              <w:jc w:val="center"/>
              <w:rPr>
                <w:rFonts w:ascii="Calibri" w:eastAsia="Calibri" w:hAnsi="Calibri" w:cs="Calibri"/>
                <w:b/>
                <w:color w:val="000000"/>
                <w:sz w:val="18"/>
                <w:szCs w:val="18"/>
              </w:rPr>
            </w:pPr>
          </w:p>
        </w:tc>
      </w:tr>
      <w:tr w:rsidR="00D95BA9">
        <w:trPr>
          <w:trHeight w:val="432"/>
        </w:trPr>
        <w:tc>
          <w:tcPr>
            <w:tcW w:w="2520" w:type="dxa"/>
            <w:vAlign w:val="center"/>
          </w:tcPr>
          <w:p w:rsidR="00D95BA9" w:rsidRDefault="00BC493E">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Profile #:</w:t>
            </w:r>
          </w:p>
        </w:tc>
        <w:tc>
          <w:tcPr>
            <w:tcW w:w="8388" w:type="dxa"/>
            <w:gridSpan w:val="3"/>
            <w:vAlign w:val="center"/>
          </w:tcPr>
          <w:p w:rsidR="00D95BA9" w:rsidRDefault="00BC493E">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sz w:val="18"/>
                <w:szCs w:val="18"/>
              </w:rPr>
              <w:t>Ref. :</w:t>
            </w:r>
            <w:bookmarkStart w:id="1" w:name="_GoBack"/>
            <w:bookmarkEnd w:id="1"/>
          </w:p>
        </w:tc>
      </w:tr>
    </w:tbl>
    <w:p w:rsidR="00D95BA9" w:rsidRDefault="00BC493E">
      <w:pPr>
        <w:pBdr>
          <w:top w:val="nil"/>
          <w:left w:val="nil"/>
          <w:bottom w:val="nil"/>
          <w:right w:val="nil"/>
          <w:between w:val="nil"/>
        </w:pBdr>
        <w:spacing w:after="0" w:line="240" w:lineRule="auto"/>
        <w:jc w:val="center"/>
        <w:rPr>
          <w:color w:val="000000"/>
        </w:rPr>
      </w:pPr>
      <w:r>
        <w:rPr>
          <w:b/>
          <w:color w:val="000000"/>
          <w:sz w:val="36"/>
          <w:szCs w:val="36"/>
        </w:rPr>
        <w:t>Retain a completed copy of this form for your records.</w:t>
      </w:r>
    </w:p>
    <w:sectPr w:rsidR="00D95BA9">
      <w:headerReference w:type="default" r:id="rId8"/>
      <w:footerReference w:type="default" r:id="rId9"/>
      <w:pgSz w:w="12240" w:h="15840"/>
      <w:pgMar w:top="893"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93E" w:rsidRDefault="00BC493E">
      <w:pPr>
        <w:spacing w:after="0" w:line="240" w:lineRule="auto"/>
      </w:pPr>
      <w:r>
        <w:separator/>
      </w:r>
    </w:p>
  </w:endnote>
  <w:endnote w:type="continuationSeparator" w:id="0">
    <w:p w:rsidR="00BC493E" w:rsidRDefault="00BC4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heSansExtraLight-Plai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BA9" w:rsidRDefault="00BC493E">
    <w:pPr>
      <w:pBdr>
        <w:top w:val="nil"/>
        <w:left w:val="nil"/>
        <w:bottom w:val="nil"/>
        <w:right w:val="nil"/>
        <w:between w:val="nil"/>
      </w:pBdr>
      <w:spacing w:after="0" w:line="240" w:lineRule="auto"/>
      <w:jc w:val="right"/>
      <w:rPr>
        <w:color w:val="808080"/>
        <w:sz w:val="20"/>
        <w:szCs w:val="20"/>
      </w:rPr>
    </w:pPr>
    <w:r>
      <w:rPr>
        <w:rFonts w:ascii="TheSansExtraLight-Plain" w:eastAsia="TheSansExtraLight-Plain" w:hAnsi="TheSansExtraLight-Plain" w:cs="TheSansExtraLight-Plain"/>
        <w:b/>
        <w:i/>
        <w:color w:val="000000"/>
        <w:sz w:val="24"/>
        <w:szCs w:val="24"/>
      </w:rPr>
      <w:t>Compliance with Confidence</w:t>
    </w:r>
    <w:r>
      <w:rPr>
        <w:b/>
        <w:i/>
        <w:color w:val="000000"/>
        <w:sz w:val="24"/>
        <w:szCs w:val="24"/>
      </w:rPr>
      <w:t>®</w:t>
    </w:r>
    <w:r>
      <w:rPr>
        <w:noProof/>
      </w:rPr>
      <w:drawing>
        <wp:anchor distT="0" distB="0" distL="114300" distR="114300" simplePos="0" relativeHeight="251659264" behindDoc="0" locked="0" layoutInCell="1" hidden="0" allowOverlap="1">
          <wp:simplePos x="0" y="0"/>
          <wp:positionH relativeFrom="column">
            <wp:posOffset>-104774</wp:posOffset>
          </wp:positionH>
          <wp:positionV relativeFrom="paragraph">
            <wp:posOffset>-97154</wp:posOffset>
          </wp:positionV>
          <wp:extent cx="1120258" cy="45720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120258" cy="45720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93E" w:rsidRDefault="00BC493E">
      <w:pPr>
        <w:spacing w:after="0" w:line="240" w:lineRule="auto"/>
      </w:pPr>
      <w:r>
        <w:separator/>
      </w:r>
    </w:p>
  </w:footnote>
  <w:footnote w:type="continuationSeparator" w:id="0">
    <w:p w:rsidR="00BC493E" w:rsidRDefault="00BC4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BA9" w:rsidRDefault="00BC493E">
    <w:pPr>
      <w:pBdr>
        <w:top w:val="nil"/>
        <w:left w:val="nil"/>
        <w:bottom w:val="nil"/>
        <w:right w:val="nil"/>
        <w:between w:val="nil"/>
      </w:pBdr>
      <w:tabs>
        <w:tab w:val="center" w:pos="4680"/>
        <w:tab w:val="right" w:pos="9360"/>
      </w:tabs>
      <w:spacing w:after="0" w:line="240" w:lineRule="auto"/>
      <w:rPr>
        <w:color w:val="808080"/>
        <w:sz w:val="20"/>
        <w:szCs w:val="20"/>
      </w:rPr>
    </w:pPr>
    <w:r>
      <w:rPr>
        <w:color w:val="646464"/>
        <w:sz w:val="16"/>
        <w:szCs w:val="16"/>
      </w:rPr>
      <w:t>CACTUS® SINK CARTRIDGE DISPOSAL WITH</w:t>
    </w:r>
    <w:r>
      <w:rPr>
        <w:b/>
        <w:color w:val="646464"/>
        <w:sz w:val="16"/>
        <w:szCs w:val="16"/>
      </w:rPr>
      <w:t xml:space="preserve"> </w:t>
    </w:r>
    <w:proofErr w:type="gramStart"/>
    <w:r>
      <w:rPr>
        <w:b/>
        <w:color w:val="646464"/>
        <w:sz w:val="16"/>
        <w:szCs w:val="16"/>
      </w:rPr>
      <w:t>RETURNPAK</w:t>
    </w:r>
    <w:r>
      <w:rPr>
        <w:color w:val="808080"/>
        <w:sz w:val="16"/>
        <w:szCs w:val="16"/>
      </w:rPr>
      <w:t xml:space="preserve">  </w:t>
    </w:r>
    <w:r>
      <w:rPr>
        <w:color w:val="808080"/>
        <w:sz w:val="16"/>
        <w:szCs w:val="16"/>
      </w:rPr>
      <w:t>07</w:t>
    </w:r>
    <w:proofErr w:type="gramEnd"/>
    <w:r>
      <w:rPr>
        <w:color w:val="808080"/>
        <w:sz w:val="16"/>
        <w:szCs w:val="16"/>
      </w:rPr>
      <w:t>/22</w:t>
    </w:r>
    <w:r>
      <w:rPr>
        <w:noProof/>
      </w:rPr>
      <w:drawing>
        <wp:anchor distT="0" distB="0" distL="114300" distR="114300" simplePos="0" relativeHeight="251658240" behindDoc="0" locked="0" layoutInCell="1" hidden="0" allowOverlap="1">
          <wp:simplePos x="0" y="0"/>
          <wp:positionH relativeFrom="column">
            <wp:posOffset>5619750</wp:posOffset>
          </wp:positionH>
          <wp:positionV relativeFrom="paragraph">
            <wp:posOffset>-178146</wp:posOffset>
          </wp:positionV>
          <wp:extent cx="1336675" cy="455930"/>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36675" cy="45593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17FCA"/>
    <w:multiLevelType w:val="multilevel"/>
    <w:tmpl w:val="8D6AAE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4AB1423"/>
    <w:multiLevelType w:val="multilevel"/>
    <w:tmpl w:val="8E2EE9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8687D2C"/>
    <w:multiLevelType w:val="multilevel"/>
    <w:tmpl w:val="A920B04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A9"/>
    <w:rsid w:val="00BC493E"/>
    <w:rsid w:val="00D95BA9"/>
    <w:rsid w:val="00E74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EF0116-45C8-4095-BE5D-EF893533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line="240" w:lineRule="auto"/>
      <w:outlineLvl w:val="0"/>
    </w:pPr>
    <w:rPr>
      <w:b/>
      <w:color w:val="808080"/>
      <w:sz w:val="28"/>
      <w:szCs w:val="28"/>
    </w:rPr>
  </w:style>
  <w:style w:type="paragraph" w:styleId="Heading2">
    <w:name w:val="heading 2"/>
    <w:basedOn w:val="Normal"/>
    <w:next w:val="Normal"/>
    <w:pPr>
      <w:keepNext/>
      <w:keepLines/>
      <w:spacing w:before="200" w:after="0" w:line="240" w:lineRule="auto"/>
      <w:outlineLvl w:val="1"/>
    </w:pPr>
    <w:rPr>
      <w:b/>
      <w:color w:val="808080"/>
      <w:sz w:val="24"/>
      <w:szCs w:val="24"/>
    </w:rPr>
  </w:style>
  <w:style w:type="paragraph" w:styleId="Heading3">
    <w:name w:val="heading 3"/>
    <w:basedOn w:val="Normal"/>
    <w:next w:val="Normal"/>
    <w:pPr>
      <w:keepNext/>
      <w:spacing w:after="0" w:line="240" w:lineRule="auto"/>
      <w:outlineLvl w:val="2"/>
    </w:pPr>
    <w:rPr>
      <w:rFonts w:ascii="Arial" w:eastAsia="Arial" w:hAnsi="Arial" w:cs="Arial"/>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rFonts w:ascii="Times New Roman" w:eastAsia="Times New Roman" w:hAnsi="Times New Roman" w:cs="Times New Roman"/>
      <w:sz w:val="20"/>
      <w:szCs w:val="20"/>
    </w:rPr>
    <w:tblPr>
      <w:tblStyleRowBandSize w:val="1"/>
      <w:tblStyleColBandSize w:val="1"/>
    </w:tblPr>
  </w:style>
  <w:style w:type="table" w:customStyle="1" w:styleId="a2">
    <w:basedOn w:val="TableNormal"/>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k.TS@veol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VE TECH NA</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Mead</dc:creator>
  <cp:lastModifiedBy>Elizabeth Mead</cp:lastModifiedBy>
  <cp:revision>2</cp:revision>
  <dcterms:created xsi:type="dcterms:W3CDTF">2022-11-15T19:03:00Z</dcterms:created>
  <dcterms:modified xsi:type="dcterms:W3CDTF">2022-11-15T19:03:00Z</dcterms:modified>
</cp:coreProperties>
</file>